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附件1</w:t>
      </w:r>
    </w:p>
    <w:p>
      <w:pPr>
        <w:pStyle w:val="6"/>
        <w:keepNext w:val="0"/>
        <w:keepLines w:val="0"/>
        <w:pageBreakBefore w:val="0"/>
        <w:widowControl/>
        <w:kinsoku/>
        <w:wordWrap/>
        <w:overflowPunct/>
        <w:topLinePunct w:val="0"/>
        <w:autoSpaceDE/>
        <w:autoSpaceDN/>
        <w:bidi w:val="0"/>
        <w:adjustRightInd/>
        <w:snapToGrid/>
        <w:spacing w:after="0" w:line="640" w:lineRule="exact"/>
        <w:ind w:left="0" w:leftChars="0" w:firstLine="0" w:firstLineChars="0"/>
        <w:jc w:val="center"/>
        <w:textAlignment w:val="auto"/>
        <w:rPr>
          <w:rFonts w:hint="eastAsia"/>
          <w:color w:val="auto"/>
          <w:lang w:val="en-US" w:eastAsia="zh-CN"/>
        </w:rPr>
      </w:pPr>
      <w:r>
        <w:rPr>
          <w:rFonts w:hint="default" w:ascii="Times New Roman" w:hAnsi="Times New Roman" w:eastAsia="方正小标宋简体" w:cs="Times New Roman"/>
          <w:i w:val="0"/>
          <w:iCs w:val="0"/>
          <w:color w:val="auto"/>
          <w:kern w:val="0"/>
          <w:sz w:val="44"/>
          <w:szCs w:val="44"/>
          <w:u w:val="none"/>
          <w:lang w:val="en-US" w:eastAsia="zh-CN" w:bidi="ar"/>
        </w:rPr>
        <w:t>宏达</w:t>
      </w:r>
      <w:r>
        <w:rPr>
          <w:rFonts w:hint="eastAsia" w:ascii="Times New Roman" w:hAnsi="Times New Roman" w:eastAsia="方正小标宋简体" w:cs="Times New Roman"/>
          <w:i w:val="0"/>
          <w:iCs w:val="0"/>
          <w:color w:val="auto"/>
          <w:kern w:val="0"/>
          <w:sz w:val="44"/>
          <w:szCs w:val="44"/>
          <w:u w:val="none"/>
          <w:lang w:val="en-US" w:eastAsia="zh-CN" w:bidi="ar"/>
        </w:rPr>
        <w:t>股份及所属企业2025年秋季社会</w:t>
      </w:r>
      <w:r>
        <w:rPr>
          <w:rFonts w:hint="default" w:ascii="Times New Roman" w:hAnsi="Times New Roman" w:eastAsia="方正小标宋简体" w:cs="Times New Roman"/>
          <w:i w:val="0"/>
          <w:iCs w:val="0"/>
          <w:color w:val="auto"/>
          <w:kern w:val="0"/>
          <w:sz w:val="44"/>
          <w:szCs w:val="44"/>
          <w:u w:val="none"/>
          <w:lang w:val="en-US" w:eastAsia="zh-CN" w:bidi="ar"/>
        </w:rPr>
        <w:t>招聘岗位信息表</w:t>
      </w:r>
    </w:p>
    <w:tbl>
      <w:tblPr>
        <w:tblStyle w:val="7"/>
        <w:tblpPr w:leftFromText="181" w:rightFromText="181" w:vertAnchor="text" w:horzAnchor="page" w:tblpX="423" w:tblpY="1"/>
        <w:tblOverlap w:val="never"/>
        <w:tblW w:w="16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60"/>
        <w:gridCol w:w="1160"/>
        <w:gridCol w:w="700"/>
        <w:gridCol w:w="5960"/>
        <w:gridCol w:w="6400"/>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i w:val="0"/>
                <w:color w:val="auto"/>
                <w:sz w:val="21"/>
                <w:szCs w:val="21"/>
                <w:highlight w:val="none"/>
                <w:u w:val="none"/>
              </w:rPr>
            </w:pPr>
            <w:r>
              <w:rPr>
                <w:rFonts w:hint="eastAsia" w:ascii="仿宋_GB2312" w:hAnsi="仿宋_GB2312" w:eastAsia="仿宋_GB2312" w:cs="仿宋_GB2312"/>
                <w:b/>
                <w:i w:val="0"/>
                <w:color w:val="auto"/>
                <w:kern w:val="0"/>
                <w:sz w:val="21"/>
                <w:szCs w:val="21"/>
                <w:highlight w:val="none"/>
                <w:u w:val="none"/>
                <w:lang w:val="en-US" w:eastAsia="zh-CN" w:bidi="ar"/>
              </w:rPr>
              <w:t>序号</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i w:val="0"/>
                <w:color w:val="auto"/>
                <w:sz w:val="21"/>
                <w:szCs w:val="21"/>
                <w:highlight w:val="none"/>
                <w:u w:val="none"/>
              </w:rPr>
            </w:pPr>
            <w:r>
              <w:rPr>
                <w:rFonts w:hint="eastAsia" w:ascii="仿宋_GB2312" w:hAnsi="仿宋_GB2312" w:eastAsia="仿宋_GB2312" w:cs="仿宋_GB2312"/>
                <w:b/>
                <w:i w:val="0"/>
                <w:color w:val="auto"/>
                <w:kern w:val="0"/>
                <w:sz w:val="21"/>
                <w:szCs w:val="21"/>
                <w:highlight w:val="none"/>
                <w:u w:val="none"/>
                <w:lang w:val="en-US" w:eastAsia="zh-CN" w:bidi="ar"/>
              </w:rPr>
              <w:t>岗位类别</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i w:val="0"/>
                <w:color w:val="auto"/>
                <w:sz w:val="21"/>
                <w:szCs w:val="21"/>
                <w:highlight w:val="none"/>
                <w:u w:val="none"/>
              </w:rPr>
            </w:pPr>
            <w:r>
              <w:rPr>
                <w:rFonts w:hint="eastAsia" w:ascii="仿宋_GB2312" w:hAnsi="仿宋_GB2312" w:eastAsia="仿宋_GB2312" w:cs="仿宋_GB2312"/>
                <w:b/>
                <w:i w:val="0"/>
                <w:color w:val="auto"/>
                <w:kern w:val="0"/>
                <w:sz w:val="21"/>
                <w:szCs w:val="21"/>
                <w:highlight w:val="none"/>
                <w:u w:val="none"/>
                <w:lang w:val="en-US" w:eastAsia="zh-CN" w:bidi="ar"/>
              </w:rPr>
              <w:t>招聘</w:t>
            </w:r>
            <w:r>
              <w:rPr>
                <w:rFonts w:hint="eastAsia" w:ascii="仿宋_GB2312" w:hAnsi="仿宋_GB2312" w:eastAsia="仿宋_GB2312" w:cs="仿宋_GB2312"/>
                <w:b/>
                <w:i w:val="0"/>
                <w:color w:val="auto"/>
                <w:kern w:val="0"/>
                <w:sz w:val="21"/>
                <w:szCs w:val="21"/>
                <w:highlight w:val="none"/>
                <w:u w:val="none"/>
                <w:lang w:val="en-US" w:eastAsia="zh-CN" w:bidi="ar"/>
              </w:rPr>
              <w:br w:type="textWrapping"/>
            </w:r>
            <w:r>
              <w:rPr>
                <w:rFonts w:hint="eastAsia" w:ascii="仿宋_GB2312" w:hAnsi="仿宋_GB2312" w:eastAsia="仿宋_GB2312" w:cs="仿宋_GB2312"/>
                <w:b/>
                <w:i w:val="0"/>
                <w:color w:val="auto"/>
                <w:kern w:val="0"/>
                <w:sz w:val="21"/>
                <w:szCs w:val="21"/>
                <w:highlight w:val="none"/>
                <w:u w:val="none"/>
                <w:lang w:val="en-US" w:eastAsia="zh-CN" w:bidi="ar"/>
              </w:rPr>
              <w:t>人数</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i w:val="0"/>
                <w:color w:val="auto"/>
                <w:sz w:val="21"/>
                <w:szCs w:val="21"/>
                <w:highlight w:val="none"/>
                <w:u w:val="none"/>
              </w:rPr>
            </w:pPr>
            <w:r>
              <w:rPr>
                <w:rFonts w:hint="eastAsia" w:ascii="仿宋_GB2312" w:hAnsi="仿宋_GB2312" w:eastAsia="仿宋_GB2312" w:cs="仿宋_GB2312"/>
                <w:b/>
                <w:i w:val="0"/>
                <w:color w:val="auto"/>
                <w:kern w:val="0"/>
                <w:sz w:val="21"/>
                <w:szCs w:val="21"/>
                <w:highlight w:val="none"/>
                <w:u w:val="none"/>
                <w:lang w:val="en-US" w:eastAsia="zh-CN" w:bidi="ar"/>
              </w:rPr>
              <w:t>资格条件</w:t>
            </w: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i w:val="0"/>
                <w:color w:val="auto"/>
                <w:sz w:val="21"/>
                <w:szCs w:val="21"/>
                <w:highlight w:val="none"/>
                <w:u w:val="none"/>
              </w:rPr>
            </w:pPr>
            <w:r>
              <w:rPr>
                <w:rFonts w:hint="eastAsia" w:ascii="仿宋_GB2312" w:hAnsi="仿宋_GB2312" w:eastAsia="仿宋_GB2312" w:cs="仿宋_GB2312"/>
                <w:b/>
                <w:i w:val="0"/>
                <w:color w:val="auto"/>
                <w:kern w:val="0"/>
                <w:sz w:val="21"/>
                <w:szCs w:val="21"/>
                <w:highlight w:val="none"/>
                <w:u w:val="none"/>
                <w:lang w:val="en-US" w:eastAsia="zh-CN" w:bidi="ar"/>
              </w:rPr>
              <w:t>岗位描述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i w:val="0"/>
                <w:color w:val="auto"/>
                <w:sz w:val="21"/>
                <w:szCs w:val="21"/>
                <w:highlight w:val="none"/>
                <w:u w:val="none"/>
              </w:rPr>
            </w:pPr>
            <w:r>
              <w:rPr>
                <w:rFonts w:hint="eastAsia" w:ascii="仿宋_GB2312" w:hAnsi="仿宋_GB2312" w:eastAsia="仿宋_GB2312" w:cs="仿宋_GB2312"/>
                <w:b/>
                <w:i w:val="0"/>
                <w:color w:val="auto"/>
                <w:kern w:val="0"/>
                <w:sz w:val="21"/>
                <w:szCs w:val="21"/>
                <w:highlight w:val="none"/>
                <w:u w:val="none"/>
                <w:lang w:val="en-US" w:eastAsia="zh-CN" w:bidi="ar"/>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atLeast"/>
        </w:trPr>
        <w:tc>
          <w:tcPr>
            <w:tcW w:w="1622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i w:val="0"/>
                <w:color w:val="auto"/>
                <w:sz w:val="21"/>
                <w:szCs w:val="21"/>
                <w:highlight w:val="none"/>
                <w:u w:val="none"/>
              </w:rPr>
            </w:pPr>
            <w:r>
              <w:rPr>
                <w:rFonts w:hint="eastAsia" w:ascii="仿宋_GB2312" w:hAnsi="仿宋_GB2312" w:eastAsia="仿宋_GB2312" w:cs="仿宋_GB2312"/>
                <w:b/>
                <w:i w:val="0"/>
                <w:color w:val="auto"/>
                <w:kern w:val="0"/>
                <w:sz w:val="21"/>
                <w:szCs w:val="21"/>
                <w:highlight w:val="none"/>
                <w:u w:val="none"/>
                <w:lang w:val="en-US" w:eastAsia="zh-CN" w:bidi="ar"/>
              </w:rPr>
              <w:t>一、股份公司本部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1"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lang w:val="en-US" w:eastAsia="zh-CN"/>
              </w:rPr>
            </w:pPr>
            <w:r>
              <w:rPr>
                <w:rFonts w:hint="eastAsia" w:ascii="仿宋_GB2312" w:hAnsi="仿宋_GB2312" w:eastAsia="仿宋_GB2312" w:cs="仿宋_GB2312"/>
                <w:i w:val="0"/>
                <w:color w:val="auto"/>
                <w:sz w:val="21"/>
                <w:szCs w:val="21"/>
                <w:highlight w:val="none"/>
                <w:u w:val="none"/>
                <w:lang w:val="en-US" w:eastAsia="zh-CN"/>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风控审计类（中层）</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1.全日制本科及以上学历学位；</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2.审计、会计等相关专业；</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3.具有风控、审计部门副职或相应职级2年及以上工作经历；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4.具有中级及以上专业技术职称或相关职（执）业资格优先；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jc w:val="left"/>
              <w:textAlignment w:val="center"/>
              <w:rPr>
                <w:rFonts w:hint="default"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5.具有较强的沟通协调能力，了解国有企业审计体系，具有审计发现问题的高效整改落地能力。</w:t>
            </w: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1.牵头制定公司审计工作制度及年度审计计划；</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2.统筹开展公司范围内审计工作，监督审计过程合规性，推动问题整改闭环；</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3.识别公司经营、财务等领域审计风险，为管理层决策提供风险预警及改进建议；​</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4.确保审计工作符合国家法规、行业规范及公司制度，推动内控体系优化，提升公司治理水平；</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5.参与公司违规经营投资责任追究制度建设，配合上级有关部门开展违规经营投资责任追究相关工作；</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6.根据上级单位和公司领导交办，开展其他审计事项。</w:t>
            </w:r>
          </w:p>
        </w:tc>
        <w:tc>
          <w:tcPr>
            <w:tcW w:w="114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德阳什邡洛水镇、师古镇，绵竹等地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11"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color w:val="auto"/>
                <w:sz w:val="21"/>
                <w:szCs w:val="21"/>
                <w:highlight w:val="none"/>
                <w:u w:val="none"/>
                <w:lang w:val="en-US" w:eastAsia="zh-CN"/>
              </w:rPr>
            </w:pPr>
            <w:r>
              <w:rPr>
                <w:rFonts w:hint="eastAsia" w:ascii="仿宋_GB2312" w:hAnsi="仿宋_GB2312" w:eastAsia="仿宋_GB2312" w:cs="仿宋_GB2312"/>
                <w:i w:val="0"/>
                <w:color w:val="auto"/>
                <w:sz w:val="21"/>
                <w:szCs w:val="21"/>
                <w:highlight w:val="none"/>
                <w:u w:val="none"/>
                <w:lang w:val="en-US" w:eastAsia="zh-CN"/>
              </w:rPr>
              <w:t>2</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风控审计类</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1</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1.全日制本科及以上学历学位；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2.审计、会计相关专业；</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3.具有2年及以上相关工作经验，熟悉有关审计等方面的法律法规；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4.具有较强的沟通能力和团队合作精神。</w:t>
            </w:r>
            <w:r>
              <w:rPr>
                <w:rFonts w:hint="eastAsia" w:ascii="仿宋_GB2312" w:hAnsi="仿宋_GB2312" w:eastAsia="仿宋_GB2312" w:cs="仿宋_GB2312"/>
                <w:i w:val="0"/>
                <w:color w:val="auto"/>
                <w:kern w:val="0"/>
                <w:sz w:val="21"/>
                <w:szCs w:val="21"/>
                <w:highlight w:val="none"/>
                <w:u w:val="none"/>
                <w:lang w:val="en-US" w:eastAsia="zh-CN" w:bidi="ar"/>
              </w:rPr>
              <w:br w:type="textWrapping"/>
            </w: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1.参与拟定公司内部审计工作制度，编制年度内部审计工作计划；</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2.根据审计计划开展各类审计工作，拟定项目审计方案，参与审计项目实施，撰写审计报告、管理建议书等审计文书；</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3.跟踪审计整改情况，督促被审计单位落实整改措施，必要时开展后续审计；</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4.按审计规范整理项目审计资料及工作底稿、审计报告等审计文件，编制移交清单，负责审计档案的整理与归档；</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5.领导交办的其他工作。</w:t>
            </w:r>
          </w:p>
        </w:tc>
        <w:tc>
          <w:tcPr>
            <w:tcW w:w="114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16" w:hRule="atLeast"/>
        </w:trPr>
        <w:tc>
          <w:tcPr>
            <w:tcW w:w="860"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3</w:t>
            </w:r>
          </w:p>
        </w:tc>
        <w:tc>
          <w:tcPr>
            <w:tcW w:w="1160"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经营管理类</w:t>
            </w:r>
          </w:p>
        </w:tc>
        <w:tc>
          <w:tcPr>
            <w:tcW w:w="700"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w:t>
            </w:r>
          </w:p>
        </w:tc>
        <w:tc>
          <w:tcPr>
            <w:tcW w:w="5960"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1.全日制本科及以上学历学位；</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2.机械类、自动化类、能源动力类等相关专业；</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3.具有2年及以上生产制造类企业工作经验；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4.具有较强的沟通能力和团队合作精神。</w:t>
            </w:r>
          </w:p>
        </w:tc>
        <w:tc>
          <w:tcPr>
            <w:tcW w:w="6400"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1.负责工程类项目质量、进度等全周期管控；</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2.协助编制工程预决算、工程验收、竣工备案、审计；</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3.协助完成公司能源综合管理。</w:t>
            </w:r>
          </w:p>
        </w:tc>
        <w:tc>
          <w:tcPr>
            <w:tcW w:w="1140" w:type="dxa"/>
            <w:vMerge w:val="continue"/>
            <w:tcBorders>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579" w:hRule="atLeast"/>
        </w:trPr>
        <w:tc>
          <w:tcPr>
            <w:tcW w:w="860" w:type="dxa"/>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4</w:t>
            </w:r>
          </w:p>
        </w:tc>
        <w:tc>
          <w:tcPr>
            <w:tcW w:w="1160"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安全环保类</w:t>
            </w:r>
          </w:p>
        </w:tc>
        <w:tc>
          <w:tcPr>
            <w:tcW w:w="700"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2</w:t>
            </w:r>
          </w:p>
        </w:tc>
        <w:tc>
          <w:tcPr>
            <w:tcW w:w="5960"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1.全日制本科及以上学历学位；</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2.安全工程、环境工程相关专业；</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3.具有2年及以上化工类或矿业类安全环保管理工作经验；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4.具有化工类或矿业类注册安全工程师职业资格优先；</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5.熟悉国家安全生产法律法规和安全环保的相关政策及作业标准。</w:t>
            </w:r>
          </w:p>
        </w:tc>
        <w:tc>
          <w:tcPr>
            <w:tcW w:w="6400"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1.参与修订和完善公司安全环保管理制度、操作规程及应急预案；</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2.负责日常安全环保检查和隐患排查，下达整改通知并跟踪落实效果；</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3.组织安全环保教育培训，参与编制应急演练方案，普及操作规范与应急技能，组织开展实战演练；</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4.负责收集、整理安全环保条线数据，建立健全管理台账，定期编制工作报表与分析报告，同时密切关注政策动态，确保企业运营合规性。</w:t>
            </w:r>
          </w:p>
        </w:tc>
        <w:tc>
          <w:tcPr>
            <w:tcW w:w="1140" w:type="dxa"/>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德阳什邡洛水镇、师古镇，绵竹等地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872" w:hRule="atLeast"/>
        </w:trPr>
        <w:tc>
          <w:tcPr>
            <w:tcW w:w="860"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lang w:val="en-US" w:eastAsia="zh-CN"/>
              </w:rPr>
            </w:pPr>
            <w:r>
              <w:rPr>
                <w:rFonts w:hint="eastAsia" w:ascii="仿宋_GB2312" w:hAnsi="仿宋_GB2312" w:eastAsia="仿宋_GB2312" w:cs="仿宋_GB2312"/>
                <w:i w:val="0"/>
                <w:color w:val="auto"/>
                <w:sz w:val="21"/>
                <w:szCs w:val="21"/>
                <w:highlight w:val="none"/>
                <w:u w:val="none"/>
                <w:lang w:val="en-US" w:eastAsia="zh-CN"/>
              </w:rPr>
              <w:t>5</w:t>
            </w:r>
          </w:p>
        </w:tc>
        <w:tc>
          <w:tcPr>
            <w:tcW w:w="1160" w:type="dxa"/>
            <w:vMerge w:val="restar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企业管理类</w:t>
            </w:r>
          </w:p>
        </w:tc>
        <w:tc>
          <w:tcPr>
            <w:tcW w:w="700"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w:t>
            </w:r>
          </w:p>
        </w:tc>
        <w:tc>
          <w:tcPr>
            <w:tcW w:w="5960"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1.全日制本科及以上学历学位；</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2.汉语言文学、工商管理、行政管理类相关专业；</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3.具有较好的独立撰写能力，2年及以上相关工作经验；</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4.熟悉公文管理相关工作，有较高的综合素养；</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5.具有较强的统筹规划、组织协调、沟通能力。</w:t>
            </w:r>
          </w:p>
        </w:tc>
        <w:tc>
          <w:tcPr>
            <w:tcW w:w="6400"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1.负责各类文稿的起草工作；</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2.负责公司相关会议的承办及跟踪督办工作；</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3.协助开展企业历史收集、大事记梳理等工作。</w:t>
            </w:r>
            <w:r>
              <w:rPr>
                <w:rFonts w:hint="eastAsia" w:ascii="仿宋_GB2312" w:hAnsi="仿宋_GB2312" w:eastAsia="仿宋_GB2312" w:cs="仿宋_GB2312"/>
                <w:i w:val="0"/>
                <w:color w:val="auto"/>
                <w:kern w:val="0"/>
                <w:sz w:val="21"/>
                <w:szCs w:val="21"/>
                <w:highlight w:val="none"/>
                <w:u w:val="none"/>
                <w:lang w:val="en-US" w:eastAsia="zh-CN" w:bidi="ar"/>
              </w:rPr>
              <w:br w:type="textWrapping"/>
            </w:r>
          </w:p>
        </w:tc>
        <w:tc>
          <w:tcPr>
            <w:tcW w:w="1140" w:type="dxa"/>
            <w:vMerge w:val="continue"/>
            <w:tcBorders>
              <w:top w:val="single" w:color="auto" w:sz="4" w:space="0"/>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76"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color w:val="auto"/>
                <w:sz w:val="21"/>
                <w:szCs w:val="21"/>
                <w:highlight w:val="none"/>
                <w:u w:val="none"/>
                <w:lang w:val="en-US" w:eastAsia="zh-CN"/>
              </w:rPr>
            </w:pPr>
            <w:r>
              <w:rPr>
                <w:rFonts w:hint="eastAsia" w:ascii="仿宋_GB2312" w:hAnsi="仿宋_GB2312" w:eastAsia="仿宋_GB2312" w:cs="仿宋_GB2312"/>
                <w:i w:val="0"/>
                <w:color w:val="auto"/>
                <w:sz w:val="21"/>
                <w:szCs w:val="21"/>
                <w:highlight w:val="none"/>
                <w:u w:val="none"/>
                <w:lang w:val="en-US" w:eastAsia="zh-CN"/>
              </w:rPr>
              <w:t>6</w:t>
            </w:r>
          </w:p>
        </w:tc>
        <w:tc>
          <w:tcPr>
            <w:tcW w:w="116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color w:val="auto"/>
                <w:sz w:val="21"/>
                <w:szCs w:val="21"/>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1.全日制本科及以上学历学位；</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2.人力资源管理、企业管理、劳动经济管理等相关专业；</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3.具有2年及以上大型化工企业、生产制造业人力资源工作经验，熟悉组织规划、绩效管理工作；</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4.具有较强的责任心与执行力，有良好的沟通协调、计划与组织和问题解决能力。</w:t>
            </w: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1.人力资源供需平衡分析，编制人员结构优化方案，配合人才规划工作；</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2.负责组织实施所属公司负责人经营业绩考核管理，包括拟定考核方案、目标确定及下达等；</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3.负责组织绩效和员工考核等相关工作；</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4.审核所属公司组织机构、部门职能职责、人员（除公司本部党委管理干部外）编制的管理；</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5.公司人力资源信息化建设规划、实施。</w:t>
            </w:r>
          </w:p>
        </w:tc>
        <w:tc>
          <w:tcPr>
            <w:tcW w:w="1140" w:type="dxa"/>
            <w:vMerge w:val="continue"/>
            <w:tcBorders>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color w:val="auto"/>
                <w:sz w:val="21"/>
                <w:szCs w:val="21"/>
                <w:highlight w:val="none"/>
                <w:u w:val="none"/>
                <w:lang w:val="en-US" w:eastAsia="zh-CN"/>
              </w:rPr>
            </w:pPr>
            <w:r>
              <w:rPr>
                <w:rFonts w:hint="eastAsia" w:ascii="仿宋_GB2312" w:hAnsi="仿宋_GB2312" w:eastAsia="仿宋_GB2312" w:cs="仿宋_GB2312"/>
                <w:i w:val="0"/>
                <w:color w:val="auto"/>
                <w:sz w:val="21"/>
                <w:szCs w:val="21"/>
                <w:highlight w:val="none"/>
                <w:u w:val="none"/>
                <w:lang w:val="en-US" w:eastAsia="zh-CN"/>
              </w:rPr>
              <w:t>7</w:t>
            </w:r>
          </w:p>
        </w:tc>
        <w:tc>
          <w:tcPr>
            <w:tcW w:w="116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color w:val="auto"/>
                <w:sz w:val="21"/>
                <w:szCs w:val="21"/>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1.全日制本科及以上学历学位，研究生学历优先；</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2.金融、财会、法律相关专业；</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3.具备公司法、证券法等基本法律、证券行业知识基础，了解岗位业务相关知识，具有国内A股上市公司相关工作经验的优先；</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4.工作主动性强，责任心强，工作细致认真，具备良好的沟通协调能力、语言表达能力和持续学习能力；</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5.具备较强的团队合作精神及执行力，有高度的敬业精神和职业敏感性，保密意识强。</w:t>
            </w:r>
          </w:p>
        </w:tc>
        <w:tc>
          <w:tcPr>
            <w:tcW w:w="6400"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1.协助完成公司信息披露工作，草拟公司各类公告及相关文件；</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2.协助筹备三会事宜及相关文件整理和归档；</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3.协助处理与董监高、股东、投资者及其他相关机构人员的沟通对接工作；</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4.完成领导交办的其他工作。</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成都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2"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8</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战略投资类</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2</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1.硕士研究生及以上学历学位；</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2.金融、经济、地矿、环境类相关专业；</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3.具有矿产投资、产业投资类经验，持有矿业权评估师、资产评估师、CFA等职业资格认证优先；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4.具有良好的沟通协调、独立分析、计划与组织能力。</w:t>
            </w:r>
          </w:p>
        </w:tc>
        <w:tc>
          <w:tcPr>
            <w:tcW w:w="6400"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1.负责公司投资工作相关的政策、法规、标准等研究，修订公司投资相关制度；</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2.开展行业研究，筛选重点关注行业中有投资价值的投资项目；</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3.统筹项目投资方案的设计、立项、尽职调查、可行性研究、谈判和协议签订等工作；</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4.负责开展公司及所属企业在投资项目的前、中、后期全程评价；</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5.完成领导交办的其他任务。</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成都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trPr>
        <w:tc>
          <w:tcPr>
            <w:tcW w:w="1622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i w:val="0"/>
                <w:color w:val="auto"/>
                <w:sz w:val="21"/>
                <w:szCs w:val="21"/>
                <w:highlight w:val="none"/>
                <w:u w:val="none"/>
              </w:rPr>
            </w:pPr>
            <w:r>
              <w:rPr>
                <w:rFonts w:hint="eastAsia" w:ascii="仿宋_GB2312" w:hAnsi="仿宋_GB2312" w:eastAsia="仿宋_GB2312" w:cs="仿宋_GB2312"/>
                <w:b/>
                <w:i w:val="0"/>
                <w:color w:val="auto"/>
                <w:kern w:val="0"/>
                <w:sz w:val="21"/>
                <w:szCs w:val="21"/>
                <w:highlight w:val="none"/>
                <w:u w:val="none"/>
                <w:lang w:val="en-US" w:eastAsia="zh-CN" w:bidi="ar"/>
              </w:rPr>
              <w:t>二、所属企业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26"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9</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所属企业</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领导班子</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（安全总监）</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2</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jc w:val="left"/>
              <w:textAlignment w:val="center"/>
              <w:rPr>
                <w:rFonts w:hint="default"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1.全日制本科及以上学历；</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2.具有5年及以上磷化工或天然气化工行业安全管理工作经验，且具有2年及以上磷化工或天然气化工企业中层及以上任职经历；</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3.具有磷化工或天然气化工行业领域高级工程师专业技术职称，且具有中级及以上注册安全工程师资格；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4.具备从事磷化工或天然气化工行业生产经营活动相适应的安全生产知识和管理能力；</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5.特别优秀的可适当放宽学历、年龄要求。</w:t>
            </w: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1.协助企业主要负责人落实企业安全生产责任，开展企业安全生产监督管理工作；</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2.负责企业安全生产监督管理工作的总体策划，参与企业涉及安全生产的重大决策并提出安全生产监督管理意见；</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3.负责建立企业内部安全生产监督体系并确保正常运转，领导安全生产监督管理职能部门开展工作；</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4.负责监督企业安全生产责任制落实；</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5.组织开展企业内部安全生产监督检查，监督企业内部重大事故隐患整改，阻止和纠正违反安全生产制度和安全技术规程的决定和行为；</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6.协助做好事故报告、应急处置等有关工作，组织开展事故内部调查处理，配合安全绩效考核，监督企业安全生产费用提取使用。</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德阳什邡洛水镇、师古镇，绵竹等地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42"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color w:val="auto"/>
                <w:sz w:val="21"/>
                <w:szCs w:val="21"/>
                <w:highlight w:val="none"/>
                <w:u w:val="none"/>
                <w:lang w:val="en-US"/>
              </w:rPr>
            </w:pPr>
            <w:r>
              <w:rPr>
                <w:rFonts w:hint="eastAsia" w:ascii="仿宋_GB2312" w:hAnsi="仿宋_GB2312" w:eastAsia="仿宋_GB2312" w:cs="仿宋_GB2312"/>
                <w:i w:val="0"/>
                <w:color w:val="auto"/>
                <w:kern w:val="0"/>
                <w:sz w:val="21"/>
                <w:szCs w:val="21"/>
                <w:highlight w:val="none"/>
                <w:u w:val="none"/>
                <w:lang w:val="en-US" w:eastAsia="zh-CN" w:bidi="ar"/>
              </w:rPr>
              <w:t>10</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企业管理类（中层）</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2</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1.全日制本科及以上学历学位；</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2.会计、财务管理、审计、经济管理等相关专业；</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3.具备大型化工或生产制造类企业财务、审计部门中层职级2年及以上的工作经历，或具有大中型会计事务所核心业务部门中层职级2年及以上工作经历；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4.具有会计中级及以上专业技</w:t>
            </w:r>
            <w:bookmarkStart w:id="0" w:name="_GoBack"/>
            <w:r>
              <w:rPr>
                <w:rFonts w:hint="eastAsia" w:ascii="仿宋_GB2312" w:hAnsi="仿宋_GB2312" w:eastAsia="仿宋_GB2312" w:cs="仿宋_GB2312"/>
                <w:i w:val="0"/>
                <w:color w:val="auto"/>
                <w:kern w:val="0"/>
                <w:sz w:val="21"/>
                <w:szCs w:val="21"/>
                <w:highlight w:val="none"/>
                <w:u w:val="none"/>
                <w:lang w:val="en-US" w:eastAsia="zh-CN" w:bidi="ar"/>
              </w:rPr>
              <w:t>术</w:t>
            </w:r>
            <w:r>
              <w:rPr>
                <w:rFonts w:hint="eastAsia" w:ascii="仿宋_GB2312" w:hAnsi="仿宋_GB2312" w:eastAsia="仿宋_GB2312" w:cs="仿宋_GB2312"/>
                <w:i w:val="0"/>
                <w:color w:val="auto"/>
                <w:kern w:val="0"/>
                <w:sz w:val="21"/>
                <w:szCs w:val="21"/>
                <w:highlight w:val="none"/>
                <w:u w:val="none"/>
                <w:lang w:val="en-US" w:eastAsia="zh-CN" w:bidi="ar"/>
              </w:rPr>
              <w:t>职称</w:t>
            </w:r>
            <w:r>
              <w:rPr>
                <w:rFonts w:hint="eastAsia" w:ascii="仿宋_GB2312" w:hAnsi="仿宋_GB2312" w:eastAsia="仿宋_GB2312" w:cs="仿宋_GB2312"/>
                <w:i w:val="0"/>
                <w:color w:val="auto"/>
                <w:kern w:val="0"/>
                <w:sz w:val="21"/>
                <w:szCs w:val="21"/>
                <w:highlight w:val="none"/>
                <w:u w:val="none"/>
                <w:lang w:val="en-US" w:eastAsia="zh-CN" w:bidi="ar"/>
              </w:rPr>
              <w:t>，具</w:t>
            </w:r>
            <w:bookmarkEnd w:id="0"/>
            <w:r>
              <w:rPr>
                <w:rFonts w:hint="eastAsia" w:ascii="仿宋_GB2312" w:hAnsi="仿宋_GB2312" w:eastAsia="仿宋_GB2312" w:cs="仿宋_GB2312"/>
                <w:i w:val="0"/>
                <w:color w:val="auto"/>
                <w:kern w:val="0"/>
                <w:sz w:val="21"/>
                <w:szCs w:val="21"/>
                <w:highlight w:val="none"/>
                <w:u w:val="none"/>
                <w:lang w:val="en-US" w:eastAsia="zh-CN" w:bidi="ar"/>
              </w:rPr>
              <w:t>有注册会计师资格优先；</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5.能熟练主导预算管理、资金调配与融资管理、成本核算以及财务分析的整套流程；</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6.具有较强团队管理领导力，卓越的沟通协作能力。</w:t>
            </w: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1.统筹部门工作，制定财务管理制度及流程，确保合规性；</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2.组织编制公司年度预算，监督执行并分析偏差；</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3.负责财务报表（资产负债表、利润表、现金流量表）的审核与报送；</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4.对接税务、银行等外部机构，协调财务检查与年审；</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5.参与经营分析会议，提供财务建议以支持管理层决策。</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2"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合计</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color w:val="auto"/>
                <w:sz w:val="21"/>
                <w:szCs w:val="21"/>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auto"/>
                <w:sz w:val="21"/>
                <w:szCs w:val="21"/>
                <w:highlight w:val="none"/>
                <w:u w:val="none"/>
                <w:lang w:val="en-US"/>
              </w:rPr>
            </w:pPr>
            <w:r>
              <w:rPr>
                <w:rFonts w:hint="eastAsia" w:ascii="仿宋_GB2312" w:hAnsi="仿宋_GB2312" w:eastAsia="仿宋_GB2312" w:cs="仿宋_GB2312"/>
                <w:i w:val="0"/>
                <w:color w:val="auto"/>
                <w:kern w:val="0"/>
                <w:sz w:val="21"/>
                <w:szCs w:val="21"/>
                <w:highlight w:val="none"/>
                <w:u w:val="none"/>
                <w:lang w:val="en-US" w:eastAsia="zh-CN" w:bidi="ar"/>
              </w:rPr>
              <w:t>14</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color w:val="auto"/>
                <w:sz w:val="21"/>
                <w:szCs w:val="21"/>
                <w:highlight w:val="none"/>
                <w:u w:val="none"/>
              </w:rPr>
            </w:pP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color w:val="auto"/>
                <w:sz w:val="21"/>
                <w:szCs w:val="21"/>
                <w:highlight w:val="none"/>
                <w:u w:val="none"/>
              </w:rPr>
            </w:pPr>
          </w:p>
        </w:tc>
      </w:tr>
    </w:tbl>
    <w:p/>
    <w:sectPr>
      <w:pgSz w:w="16838" w:h="11906" w:orient="landscape"/>
      <w:pgMar w:top="57" w:right="57" w:bottom="57" w:left="5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8A5A4D"/>
    <w:rsid w:val="00347370"/>
    <w:rsid w:val="01562679"/>
    <w:rsid w:val="01F6657A"/>
    <w:rsid w:val="02837701"/>
    <w:rsid w:val="05171404"/>
    <w:rsid w:val="07733881"/>
    <w:rsid w:val="087D7499"/>
    <w:rsid w:val="0B017F9A"/>
    <w:rsid w:val="0D8220AB"/>
    <w:rsid w:val="0D8A5A4D"/>
    <w:rsid w:val="0DDA37A4"/>
    <w:rsid w:val="0F206D54"/>
    <w:rsid w:val="11B92931"/>
    <w:rsid w:val="155F7399"/>
    <w:rsid w:val="16773251"/>
    <w:rsid w:val="16E17202"/>
    <w:rsid w:val="17682A5A"/>
    <w:rsid w:val="1A7D5E9B"/>
    <w:rsid w:val="1C4D0F01"/>
    <w:rsid w:val="1E547141"/>
    <w:rsid w:val="20062462"/>
    <w:rsid w:val="22BD4F40"/>
    <w:rsid w:val="2438513E"/>
    <w:rsid w:val="277D1545"/>
    <w:rsid w:val="27C90FA7"/>
    <w:rsid w:val="286D0B4B"/>
    <w:rsid w:val="2994621F"/>
    <w:rsid w:val="2A7C4643"/>
    <w:rsid w:val="2A8D0531"/>
    <w:rsid w:val="2C4309EB"/>
    <w:rsid w:val="2D0438E5"/>
    <w:rsid w:val="2D3442BE"/>
    <w:rsid w:val="32F00A23"/>
    <w:rsid w:val="33EF523E"/>
    <w:rsid w:val="36154F54"/>
    <w:rsid w:val="37155816"/>
    <w:rsid w:val="3784502C"/>
    <w:rsid w:val="39D40346"/>
    <w:rsid w:val="3A5079CD"/>
    <w:rsid w:val="3B233614"/>
    <w:rsid w:val="3C3C27C3"/>
    <w:rsid w:val="3E470C42"/>
    <w:rsid w:val="3FD9076F"/>
    <w:rsid w:val="42145096"/>
    <w:rsid w:val="429979BA"/>
    <w:rsid w:val="42E25C71"/>
    <w:rsid w:val="47AC5476"/>
    <w:rsid w:val="49427FD8"/>
    <w:rsid w:val="4A674957"/>
    <w:rsid w:val="4D6553A1"/>
    <w:rsid w:val="50B67524"/>
    <w:rsid w:val="50C61DF4"/>
    <w:rsid w:val="50FA4406"/>
    <w:rsid w:val="52CD2A7D"/>
    <w:rsid w:val="54452967"/>
    <w:rsid w:val="55CD4AE0"/>
    <w:rsid w:val="59C461CF"/>
    <w:rsid w:val="5A8E01C1"/>
    <w:rsid w:val="5C512AB4"/>
    <w:rsid w:val="61D868B7"/>
    <w:rsid w:val="6277396E"/>
    <w:rsid w:val="63CB50A1"/>
    <w:rsid w:val="68C511C1"/>
    <w:rsid w:val="6A6826E8"/>
    <w:rsid w:val="6A901085"/>
    <w:rsid w:val="71622D47"/>
    <w:rsid w:val="72345F1C"/>
    <w:rsid w:val="7290257F"/>
    <w:rsid w:val="770373AB"/>
    <w:rsid w:val="78F06703"/>
    <w:rsid w:val="7C3D09B4"/>
    <w:rsid w:val="7C9F0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qFormat/>
    <w:uiPriority w:val="0"/>
    <w:rPr>
      <w:rFonts w:ascii="楷体_GB2312" w:eastAsia="楷体_GB2312"/>
      <w:sz w:val="24"/>
      <w:szCs w:val="20"/>
    </w:rPr>
  </w:style>
  <w:style w:type="paragraph" w:styleId="4">
    <w:name w:val="Body Text Indent"/>
    <w:basedOn w:val="1"/>
    <w:next w:val="5"/>
    <w:qFormat/>
    <w:uiPriority w:val="0"/>
    <w:pPr>
      <w:ind w:firstLine="600" w:firstLineChars="200"/>
    </w:pPr>
    <w:rPr>
      <w:rFonts w:eastAsia="仿宋"/>
      <w:sz w:val="32"/>
    </w:rPr>
  </w:style>
  <w:style w:type="paragraph" w:customStyle="1" w:styleId="5">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6">
    <w:name w:val="Body Text First Indent 2"/>
    <w:basedOn w:val="4"/>
    <w:next w:val="3"/>
    <w:qFormat/>
    <w:uiPriority w:val="0"/>
    <w:pPr>
      <w:spacing w:after="120"/>
      <w:ind w:left="420" w:leftChars="200"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2862</Words>
  <Characters>2962</Characters>
  <Lines>0</Lines>
  <Paragraphs>0</Paragraphs>
  <TotalTime>35</TotalTime>
  <ScaleCrop>false</ScaleCrop>
  <LinksUpToDate>false</LinksUpToDate>
  <CharactersWithSpaces>2962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2025-06-11T07:34:00Z</dcterms:created>
  <dc:creator>卷</dc:creator>
  <cp:lastModifiedBy>张询</cp:lastModifiedBy>
  <cp:lastPrinted>2025-06-26T06:23:00Z</cp:lastPrinted>
  <dcterms:modified xsi:type="dcterms:W3CDTF">2025-09-30T13:12:40Z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eyJoZGlkIjoiNDk1YzIzMjgyOWYyZTAzYTQ0MGNhNDkzMWIwNTBiZmUiLCJ1c2VySWQiOiIxNDA3NzUyMjg1In0=</vt:lpwstr>
  </property>
  <property fmtid="{D5CDD505-2E9C-101B-9397-08002B2CF9AE}" pid="4" name="ICV">
    <vt:lpwstr>9E36C6F270944D78B7BB684D6D86FF43_12</vt:lpwstr>
  </property>
</Properties>
</file>