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default" w:ascii="方正小标宋简体" w:hAnsi="方正小标宋简体" w:eastAsia="方正小标宋简体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宏达股份及所属企业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u w:val="none"/>
          <w:lang w:val="en-US" w:eastAsia="zh-CN"/>
        </w:rPr>
        <w:t>岗位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应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</w:rPr>
        <w:t>聘</w:t>
      </w:r>
      <w:r>
        <w:rPr>
          <w:rFonts w:hint="eastAsia" w:ascii="方正小标宋简体" w:hAnsi="方正小标宋简体" w:eastAsia="方正小标宋简体"/>
          <w:color w:val="auto"/>
          <w:sz w:val="40"/>
          <w:szCs w:val="40"/>
          <w:lang w:val="en-US" w:eastAsia="zh-CN"/>
        </w:rPr>
        <w:t>报名表</w:t>
      </w:r>
    </w:p>
    <w:tbl>
      <w:tblPr>
        <w:tblStyle w:val="7"/>
        <w:tblW w:w="9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156"/>
        <w:gridCol w:w="1209"/>
        <w:gridCol w:w="1075"/>
        <w:gridCol w:w="1"/>
        <w:gridCol w:w="1820"/>
        <w:gridCol w:w="1"/>
        <w:gridCol w:w="1036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参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加工作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专业技术职务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熟悉专业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学历学位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全日制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在职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现所在单位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职务或岗位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任职时间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任同职级时间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6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现家庭住址及联系方式</w:t>
            </w:r>
          </w:p>
        </w:tc>
        <w:tc>
          <w:tcPr>
            <w:tcW w:w="67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聘志愿</w:t>
            </w:r>
          </w:p>
        </w:tc>
        <w:tc>
          <w:tcPr>
            <w:tcW w:w="3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是否服从调配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 xml:space="preserve"> 是 </w:t>
            </w:r>
            <w:r>
              <w:rPr>
                <w:rFonts w:ascii="仿宋_GB2312" w:hAnsi="仿宋_GB2312" w:eastAsia="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color w:val="auto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7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例：</w:t>
            </w:r>
          </w:p>
          <w:p>
            <w:pPr>
              <w:pStyle w:val="6"/>
              <w:ind w:left="0" w:leftChars="0" w:firstLine="0" w:firstLineChars="0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2011.09-2015.06  XX大学XX学院学生；</w:t>
            </w:r>
          </w:p>
          <w:p>
            <w:pPr>
              <w:pStyle w:val="6"/>
              <w:ind w:left="0" w:leftChars="0" w:firstLine="0" w:firstLineChars="0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2011.08-2014.07  XX公司XX部门XX岗位；</w:t>
            </w:r>
          </w:p>
          <w:p>
            <w:pPr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  <w:p>
            <w:pPr>
              <w:pStyle w:val="6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工作业绩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重点阐述工作期间的亮点、成果等内容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，字数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  <w:t>控制在500字以内）</w:t>
            </w:r>
          </w:p>
          <w:p>
            <w:pPr>
              <w:pStyle w:val="3"/>
              <w:rPr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4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近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年度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考核结果</w:t>
            </w:r>
          </w:p>
        </w:tc>
        <w:tc>
          <w:tcPr>
            <w:tcW w:w="79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pacing w:val="0"/>
                <w:sz w:val="24"/>
                <w:szCs w:val="24"/>
                <w:lang w:eastAsia="zh-CN"/>
              </w:rPr>
              <w:t>主要家庭成员及社会关系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 w:firstLineChars="0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 w:firstLineChars="0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0"/>
              <w:jc w:val="center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6" w:hRule="atLeast"/>
          <w:jc w:val="center"/>
        </w:trPr>
        <w:tc>
          <w:tcPr>
            <w:tcW w:w="9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7"/>
                <w:sz w:val="24"/>
                <w:szCs w:val="24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8" w:firstLine="51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所填报的个人信息和材料均真实、准确、有效，如有伪造等弄虚作假行为，自愿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按有关规定接受处理；不存在接受组织调查、约谈、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函询等，或受到诫勉、组织处理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 w:val="24"/>
                <w:szCs w:val="24"/>
              </w:rPr>
              <w:t>或者党纪政务处分等影响期未满的情况；不存在违反领导干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5"/>
                <w:sz w:val="24"/>
                <w:szCs w:val="24"/>
              </w:rPr>
              <w:t>部任职回避制度有关规定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4"/>
                <w:szCs w:val="24"/>
              </w:rPr>
              <w:t>的情况。</w:t>
            </w:r>
          </w:p>
          <w:p>
            <w:pPr>
              <w:adjustRightInd/>
              <w:snapToGrid/>
              <w:spacing w:line="579" w:lineRule="exact"/>
              <w:ind w:left="275" w:firstLine="0" w:firstLineChars="0"/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</w:pPr>
          </w:p>
          <w:p>
            <w:pPr>
              <w:adjustRightInd/>
              <w:snapToGrid/>
              <w:spacing w:line="579" w:lineRule="exact"/>
              <w:ind w:left="275" w:firstLine="0" w:firstLineChars="0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lang w:val="en-US"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4"/>
                <w:szCs w:val="24"/>
                <w:u w:val="single"/>
              </w:rPr>
              <w:t xml:space="preserve">              </w:t>
            </w:r>
          </w:p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微软雅黑 Light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9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default" w:ascii="仿宋_GB2312" w:hAnsi="仿宋_GB2312" w:eastAsia="仿宋_GB2312" w:cs="微软雅黑 Ligh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 w:val="24"/>
                <w:szCs w:val="24"/>
                <w:highlight w:val="none"/>
                <w:lang w:val="en-US" w:eastAsia="zh-CN"/>
              </w:rPr>
              <w:t>备注：本表所列“服从调配”，既指服从本次选聘公告中岗位中调剂，又指录用后服从公司内部岗位间调剂。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52441"/>
    <w:rsid w:val="080B5A82"/>
    <w:rsid w:val="0F206D54"/>
    <w:rsid w:val="13EE1783"/>
    <w:rsid w:val="16773251"/>
    <w:rsid w:val="1C4D0F01"/>
    <w:rsid w:val="21191A46"/>
    <w:rsid w:val="27AD6535"/>
    <w:rsid w:val="2C4309EB"/>
    <w:rsid w:val="2DFC4C3B"/>
    <w:rsid w:val="33EF523E"/>
    <w:rsid w:val="3FD9076F"/>
    <w:rsid w:val="416A4D93"/>
    <w:rsid w:val="41B05EFC"/>
    <w:rsid w:val="42145096"/>
    <w:rsid w:val="4AFF2A21"/>
    <w:rsid w:val="520E2E78"/>
    <w:rsid w:val="52CD2A7D"/>
    <w:rsid w:val="5A8E01C1"/>
    <w:rsid w:val="5D552441"/>
    <w:rsid w:val="61D868B7"/>
    <w:rsid w:val="6A901085"/>
    <w:rsid w:val="7C3D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ind w:firstLine="600" w:firstLineChars="200"/>
    </w:pPr>
    <w:rPr>
      <w:rFonts w:eastAsia="仿宋"/>
      <w:sz w:val="32"/>
    </w:rPr>
  </w:style>
  <w:style w:type="paragraph" w:customStyle="1" w:styleId="5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Body Text First Indent 2"/>
    <w:basedOn w:val="4"/>
    <w:next w:val="3"/>
    <w:qFormat/>
    <w:uiPriority w:val="0"/>
    <w:pPr>
      <w:spacing w:after="120"/>
      <w:ind w:left="420" w:leftChars="200"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481</Characters>
  <Lines>0</Lines>
  <Paragraphs>0</Paragraphs>
  <TotalTime>6</TotalTime>
  <ScaleCrop>false</ScaleCrop>
  <LinksUpToDate>false</LinksUpToDate>
  <CharactersWithSpaces>586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2025-06-11T07:34:00Z</dcterms:created>
  <dc:creator>卷</dc:creator>
  <cp:lastModifiedBy>张询</cp:lastModifiedBy>
  <dcterms:modified xsi:type="dcterms:W3CDTF">2025-09-30T13:16:20Z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eyJoZGlkIjoiNDk1YzIzMjgyOWYyZTAzYTQ0MGNhNDkzMWIwNTBiZmUiLCJ1c2VySWQiOiIxNDA3NzUyMjg1In0=</vt:lpwstr>
  </property>
  <property fmtid="{D5CDD505-2E9C-101B-9397-08002B2CF9AE}" pid="4" name="ICV">
    <vt:lpwstr>A7556797DBDD4028A77067C87C2A4015_12</vt:lpwstr>
  </property>
</Properties>
</file>